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A9" w:rsidRPr="0001078A" w:rsidRDefault="00C921A9" w:rsidP="0001078A">
      <w:pPr>
        <w:rPr>
          <w:rFonts w:eastAsiaTheme="minorEastAsia" w:cstheme="minorHAnsi"/>
          <w:b/>
          <w:sz w:val="24"/>
          <w:szCs w:val="24"/>
          <w:lang w:val="en-US" w:eastAsia="ja-JP"/>
        </w:rPr>
      </w:pPr>
      <w:r w:rsidRPr="0001078A">
        <w:rPr>
          <w:rFonts w:eastAsiaTheme="minorEastAsia" w:cstheme="minorHAnsi"/>
          <w:b/>
          <w:sz w:val="24"/>
          <w:szCs w:val="24"/>
          <w:lang w:val="en-US" w:eastAsia="ja-JP"/>
        </w:rPr>
        <w:t>SEN Information Report</w:t>
      </w:r>
    </w:p>
    <w:p w:rsidR="00C921A9" w:rsidRPr="0001078A" w:rsidRDefault="00C921A9" w:rsidP="0001078A">
      <w:pPr>
        <w:tabs>
          <w:tab w:val="left" w:pos="1275"/>
        </w:tabs>
        <w:jc w:val="both"/>
        <w:rPr>
          <w:rFonts w:cstheme="minorHAnsi"/>
          <w:sz w:val="24"/>
          <w:szCs w:val="24"/>
        </w:rPr>
      </w:pPr>
      <w:r w:rsidRPr="0001078A">
        <w:rPr>
          <w:rFonts w:cstheme="minorHAnsi"/>
          <w:sz w:val="24"/>
          <w:szCs w:val="24"/>
        </w:rPr>
        <w:t>The Special Educational Needs and Disability Regulations 2014 require schools to publish certain information about their policy for supporting pupils, including LAC, with SEND, which must be updated annually.  Information reports need to be accessible for all pupils and parents, and should be presented in clear, plain language. It’s important that schools have due regard to the statutory information they need to publish and the need to make the information easy to digest.</w:t>
      </w:r>
    </w:p>
    <w:p w:rsidR="00C921A9" w:rsidRPr="0001078A" w:rsidRDefault="00C921A9" w:rsidP="0001078A">
      <w:pPr>
        <w:tabs>
          <w:tab w:val="left" w:pos="1275"/>
        </w:tabs>
        <w:jc w:val="both"/>
        <w:rPr>
          <w:rFonts w:cstheme="minorHAnsi"/>
          <w:sz w:val="24"/>
          <w:szCs w:val="24"/>
        </w:rPr>
      </w:pPr>
      <w:r w:rsidRPr="0001078A">
        <w:rPr>
          <w:rFonts w:cstheme="minorHAnsi"/>
          <w:sz w:val="24"/>
          <w:szCs w:val="24"/>
        </w:rPr>
        <w:t xml:space="preserve">Schools should use this template as a basis for their SEN Information Report. It has been developed in accordance with the ‘Special educational needs and disability code of practice: 0 to 25 years’ 2015 to ensure all statutory information is included, as well as ‘Keeping children safe in education’ (KCSIE) 2018 which addresses specific areas and additional risks staff members should be aware of for pupils with SEND. Some sections have been included that are good practice (signposted as ‘optional’) – these relate to the information outlined in KCSIE and the spending of your SEND budget. Whilst these are optional, including information on these shows additional transparency and demonstrates how your school is meeting its duties in other areas. </w:t>
      </w:r>
    </w:p>
    <w:p w:rsidR="00C921A9" w:rsidRPr="0001078A" w:rsidRDefault="00C921A9" w:rsidP="0001078A">
      <w:pPr>
        <w:tabs>
          <w:tab w:val="left" w:pos="1275"/>
        </w:tabs>
        <w:jc w:val="both"/>
        <w:rPr>
          <w:rFonts w:cstheme="minorHAnsi"/>
          <w:sz w:val="24"/>
          <w:szCs w:val="24"/>
        </w:rPr>
      </w:pPr>
      <w:r w:rsidRPr="0001078A">
        <w:rPr>
          <w:rFonts w:cstheme="minorHAnsi"/>
          <w:sz w:val="24"/>
          <w:szCs w:val="24"/>
        </w:rPr>
        <w:t>Wherever possible, provide bullets under each section to make sure your report is easy to follow.</w:t>
      </w:r>
    </w:p>
    <w:p w:rsidR="00C921A9" w:rsidRPr="0001078A" w:rsidRDefault="00C921A9" w:rsidP="0001078A">
      <w:pPr>
        <w:tabs>
          <w:tab w:val="left" w:pos="1275"/>
        </w:tabs>
        <w:jc w:val="both"/>
        <w:rPr>
          <w:rFonts w:cstheme="minorHAnsi"/>
          <w:b/>
          <w:sz w:val="24"/>
          <w:szCs w:val="24"/>
        </w:rPr>
      </w:pPr>
      <w:r w:rsidRPr="0001078A">
        <w:rPr>
          <w:rFonts w:cstheme="minorHAnsi"/>
          <w:b/>
          <w:sz w:val="24"/>
          <w:szCs w:val="24"/>
        </w:rPr>
        <w:t>Contents</w:t>
      </w:r>
    </w:p>
    <w:p w:rsidR="00C921A9" w:rsidRPr="0001078A" w:rsidRDefault="008C032C" w:rsidP="0001078A">
      <w:pPr>
        <w:pStyle w:val="ListParagraph"/>
        <w:numPr>
          <w:ilvl w:val="0"/>
          <w:numId w:val="1"/>
        </w:numPr>
        <w:rPr>
          <w:rFonts w:eastAsiaTheme="minorEastAsia" w:cstheme="minorHAnsi"/>
          <w:sz w:val="24"/>
          <w:szCs w:val="24"/>
          <w:lang w:val="en-US" w:eastAsia="ja-JP"/>
        </w:rPr>
      </w:pPr>
      <w:hyperlink w:anchor="A" w:history="1">
        <w:r w:rsidR="00C921A9" w:rsidRPr="0001078A">
          <w:rPr>
            <w:rStyle w:val="Hyperlink"/>
            <w:rFonts w:eastAsiaTheme="minorEastAsia" w:cstheme="minorHAnsi"/>
            <w:color w:val="auto"/>
            <w:sz w:val="24"/>
            <w:szCs w:val="24"/>
            <w:lang w:val="en-US" w:eastAsia="ja-JP"/>
          </w:rPr>
          <w:t>Our school’s approach to supporting pupils with SEND</w:t>
        </w:r>
      </w:hyperlink>
    </w:p>
    <w:p w:rsidR="00C921A9" w:rsidRPr="0001078A" w:rsidRDefault="008C032C" w:rsidP="0001078A">
      <w:pPr>
        <w:pStyle w:val="ListParagraph"/>
        <w:numPr>
          <w:ilvl w:val="0"/>
          <w:numId w:val="1"/>
        </w:numPr>
        <w:rPr>
          <w:rFonts w:eastAsiaTheme="minorEastAsia" w:cstheme="minorHAnsi"/>
          <w:sz w:val="24"/>
          <w:szCs w:val="24"/>
          <w:lang w:val="en-US" w:eastAsia="ja-JP"/>
        </w:rPr>
      </w:pPr>
      <w:hyperlink w:anchor="B" w:history="1">
        <w:r w:rsidR="00C921A9" w:rsidRPr="0001078A">
          <w:rPr>
            <w:rStyle w:val="Hyperlink"/>
            <w:rFonts w:eastAsiaTheme="minorEastAsia" w:cstheme="minorHAnsi"/>
            <w:color w:val="auto"/>
            <w:sz w:val="24"/>
            <w:szCs w:val="24"/>
            <w:lang w:val="en-US" w:eastAsia="ja-JP"/>
          </w:rPr>
          <w:t>Catering for different kinds of SEND</w:t>
        </w:r>
      </w:hyperlink>
    </w:p>
    <w:p w:rsidR="00C921A9" w:rsidRPr="0001078A" w:rsidRDefault="008C032C" w:rsidP="0001078A">
      <w:pPr>
        <w:pStyle w:val="ListParagraph"/>
        <w:numPr>
          <w:ilvl w:val="0"/>
          <w:numId w:val="1"/>
        </w:numPr>
        <w:rPr>
          <w:rFonts w:eastAsiaTheme="minorEastAsia" w:cstheme="minorHAnsi"/>
          <w:sz w:val="24"/>
          <w:szCs w:val="24"/>
          <w:lang w:val="en-US" w:eastAsia="ja-JP"/>
        </w:rPr>
      </w:pPr>
      <w:hyperlink w:anchor="C" w:history="1">
        <w:r w:rsidR="00C921A9" w:rsidRPr="0001078A">
          <w:rPr>
            <w:rStyle w:val="Hyperlink"/>
            <w:rFonts w:eastAsiaTheme="minorEastAsia" w:cstheme="minorHAnsi"/>
            <w:color w:val="auto"/>
            <w:sz w:val="24"/>
            <w:szCs w:val="24"/>
            <w:lang w:val="en-US" w:eastAsia="ja-JP"/>
          </w:rPr>
          <w:t>Key staff and expertise</w:t>
        </w:r>
      </w:hyperlink>
    </w:p>
    <w:p w:rsidR="00C921A9" w:rsidRPr="0001078A" w:rsidRDefault="008C032C" w:rsidP="0001078A">
      <w:pPr>
        <w:pStyle w:val="ListParagraph"/>
        <w:numPr>
          <w:ilvl w:val="0"/>
          <w:numId w:val="1"/>
        </w:numPr>
        <w:rPr>
          <w:rFonts w:eastAsiaTheme="minorEastAsia" w:cstheme="minorHAnsi"/>
          <w:sz w:val="24"/>
          <w:szCs w:val="24"/>
          <w:lang w:val="en-US" w:eastAsia="ja-JP"/>
        </w:rPr>
      </w:pPr>
      <w:hyperlink w:anchor="D" w:history="1">
        <w:r w:rsidR="00C921A9" w:rsidRPr="0001078A">
          <w:rPr>
            <w:rStyle w:val="Hyperlink"/>
            <w:rFonts w:eastAsiaTheme="minorEastAsia" w:cstheme="minorHAnsi"/>
            <w:color w:val="auto"/>
            <w:sz w:val="24"/>
            <w:szCs w:val="24"/>
            <w:lang w:val="en-US" w:eastAsia="ja-JP"/>
          </w:rPr>
          <w:t>Identifying pupils with SEND</w:t>
        </w:r>
      </w:hyperlink>
    </w:p>
    <w:p w:rsidR="00C921A9" w:rsidRPr="0001078A" w:rsidRDefault="008C032C" w:rsidP="0001078A">
      <w:pPr>
        <w:pStyle w:val="ListParagraph"/>
        <w:numPr>
          <w:ilvl w:val="0"/>
          <w:numId w:val="1"/>
        </w:numPr>
        <w:rPr>
          <w:rFonts w:eastAsiaTheme="minorEastAsia" w:cstheme="minorHAnsi"/>
          <w:sz w:val="24"/>
          <w:szCs w:val="24"/>
          <w:lang w:val="en-US" w:eastAsia="ja-JP"/>
        </w:rPr>
      </w:pPr>
      <w:hyperlink w:anchor="E" w:history="1">
        <w:r w:rsidR="00C921A9" w:rsidRPr="0001078A">
          <w:rPr>
            <w:rStyle w:val="Hyperlink"/>
            <w:rFonts w:eastAsiaTheme="minorEastAsia" w:cstheme="minorHAnsi"/>
            <w:color w:val="auto"/>
            <w:sz w:val="24"/>
            <w:szCs w:val="24"/>
            <w:lang w:val="en-US" w:eastAsia="ja-JP"/>
          </w:rPr>
          <w:t>Consulting with pupils and parents</w:t>
        </w:r>
      </w:hyperlink>
    </w:p>
    <w:p w:rsidR="00C921A9" w:rsidRPr="0001078A" w:rsidRDefault="008C032C" w:rsidP="0001078A">
      <w:pPr>
        <w:pStyle w:val="ListParagraph"/>
        <w:numPr>
          <w:ilvl w:val="0"/>
          <w:numId w:val="1"/>
        </w:numPr>
        <w:rPr>
          <w:rFonts w:eastAsiaTheme="minorEastAsia" w:cstheme="minorHAnsi"/>
          <w:sz w:val="24"/>
          <w:szCs w:val="24"/>
          <w:lang w:val="en-US" w:eastAsia="ja-JP"/>
        </w:rPr>
      </w:pPr>
      <w:hyperlink w:anchor="F" w:history="1">
        <w:r w:rsidR="00C921A9" w:rsidRPr="0001078A">
          <w:rPr>
            <w:rStyle w:val="Hyperlink"/>
            <w:rFonts w:eastAsiaTheme="minorEastAsia" w:cstheme="minorHAnsi"/>
            <w:color w:val="auto"/>
            <w:sz w:val="24"/>
            <w:szCs w:val="24"/>
            <w:lang w:val="en-US" w:eastAsia="ja-JP"/>
          </w:rPr>
          <w:t>Involving key stakeholders</w:t>
        </w:r>
      </w:hyperlink>
    </w:p>
    <w:p w:rsidR="00C921A9" w:rsidRPr="0001078A" w:rsidRDefault="008C032C" w:rsidP="0001078A">
      <w:pPr>
        <w:pStyle w:val="ListParagraph"/>
        <w:numPr>
          <w:ilvl w:val="0"/>
          <w:numId w:val="1"/>
        </w:numPr>
        <w:rPr>
          <w:rFonts w:eastAsiaTheme="minorEastAsia" w:cstheme="minorHAnsi"/>
          <w:sz w:val="24"/>
          <w:szCs w:val="24"/>
          <w:lang w:val="en-US" w:eastAsia="ja-JP"/>
        </w:rPr>
      </w:pPr>
      <w:hyperlink w:anchor="G" w:history="1">
        <w:r w:rsidR="00C921A9" w:rsidRPr="0001078A">
          <w:rPr>
            <w:rStyle w:val="Hyperlink"/>
            <w:rFonts w:eastAsiaTheme="minorEastAsia" w:cstheme="minorHAnsi"/>
            <w:color w:val="auto"/>
            <w:sz w:val="24"/>
            <w:szCs w:val="24"/>
            <w:lang w:val="en-US" w:eastAsia="ja-JP"/>
          </w:rPr>
          <w:t>Progressing towards outcomes</w:t>
        </w:r>
      </w:hyperlink>
    </w:p>
    <w:p w:rsidR="00C921A9" w:rsidRPr="0001078A" w:rsidRDefault="008C032C" w:rsidP="0001078A">
      <w:pPr>
        <w:pStyle w:val="ListParagraph"/>
        <w:numPr>
          <w:ilvl w:val="0"/>
          <w:numId w:val="1"/>
        </w:numPr>
        <w:rPr>
          <w:rFonts w:eastAsiaTheme="minorEastAsia" w:cstheme="minorHAnsi"/>
          <w:sz w:val="24"/>
          <w:szCs w:val="24"/>
          <w:lang w:val="en-US" w:eastAsia="ja-JP"/>
        </w:rPr>
      </w:pPr>
      <w:hyperlink w:anchor="H" w:history="1">
        <w:r w:rsidR="00C921A9" w:rsidRPr="0001078A">
          <w:rPr>
            <w:rStyle w:val="Hyperlink"/>
            <w:rFonts w:eastAsiaTheme="minorEastAsia" w:cstheme="minorHAnsi"/>
            <w:color w:val="auto"/>
            <w:sz w:val="24"/>
            <w:szCs w:val="24"/>
            <w:lang w:val="en-US" w:eastAsia="ja-JP"/>
          </w:rPr>
          <w:t>Transition support</w:t>
        </w:r>
      </w:hyperlink>
    </w:p>
    <w:p w:rsidR="00C921A9" w:rsidRPr="0001078A" w:rsidRDefault="008C032C" w:rsidP="0001078A">
      <w:pPr>
        <w:pStyle w:val="ListParagraph"/>
        <w:numPr>
          <w:ilvl w:val="0"/>
          <w:numId w:val="1"/>
        </w:numPr>
        <w:rPr>
          <w:rFonts w:eastAsiaTheme="minorEastAsia" w:cstheme="minorHAnsi"/>
          <w:sz w:val="24"/>
          <w:szCs w:val="24"/>
          <w:lang w:val="en-US" w:eastAsia="ja-JP"/>
        </w:rPr>
      </w:pPr>
      <w:hyperlink w:anchor="I" w:history="1">
        <w:r w:rsidR="00C921A9" w:rsidRPr="0001078A">
          <w:rPr>
            <w:rStyle w:val="Hyperlink"/>
            <w:rFonts w:eastAsiaTheme="minorEastAsia" w:cstheme="minorHAnsi"/>
            <w:color w:val="auto"/>
            <w:sz w:val="24"/>
            <w:szCs w:val="24"/>
            <w:lang w:val="en-US" w:eastAsia="ja-JP"/>
          </w:rPr>
          <w:t>Teaching approach</w:t>
        </w:r>
      </w:hyperlink>
    </w:p>
    <w:p w:rsidR="00C921A9" w:rsidRPr="0001078A" w:rsidRDefault="008C032C" w:rsidP="0001078A">
      <w:pPr>
        <w:pStyle w:val="ListParagraph"/>
        <w:numPr>
          <w:ilvl w:val="0"/>
          <w:numId w:val="1"/>
        </w:numPr>
        <w:rPr>
          <w:rFonts w:eastAsiaTheme="minorEastAsia" w:cstheme="minorHAnsi"/>
          <w:sz w:val="24"/>
          <w:szCs w:val="24"/>
          <w:lang w:val="en-US" w:eastAsia="ja-JP"/>
        </w:rPr>
      </w:pPr>
      <w:hyperlink w:anchor="J" w:history="1">
        <w:r w:rsidR="00C921A9" w:rsidRPr="0001078A">
          <w:rPr>
            <w:rStyle w:val="Hyperlink"/>
            <w:rFonts w:eastAsiaTheme="minorEastAsia" w:cstheme="minorHAnsi"/>
            <w:color w:val="auto"/>
            <w:sz w:val="24"/>
            <w:szCs w:val="24"/>
            <w:lang w:val="en-US" w:eastAsia="ja-JP"/>
          </w:rPr>
          <w:t>Adaptations to the curriculum and learning environment</w:t>
        </w:r>
      </w:hyperlink>
    </w:p>
    <w:p w:rsidR="00C921A9" w:rsidRPr="0001078A" w:rsidRDefault="008C032C" w:rsidP="0001078A">
      <w:pPr>
        <w:pStyle w:val="ListParagraph"/>
        <w:numPr>
          <w:ilvl w:val="0"/>
          <w:numId w:val="1"/>
        </w:numPr>
        <w:rPr>
          <w:rFonts w:eastAsiaTheme="minorEastAsia" w:cstheme="minorHAnsi"/>
          <w:sz w:val="24"/>
          <w:szCs w:val="24"/>
          <w:lang w:val="en-US" w:eastAsia="ja-JP"/>
        </w:rPr>
      </w:pPr>
      <w:hyperlink w:anchor="K" w:history="1">
        <w:r w:rsidR="00C921A9" w:rsidRPr="0001078A">
          <w:rPr>
            <w:rStyle w:val="Hyperlink"/>
            <w:rFonts w:eastAsiaTheme="minorEastAsia" w:cstheme="minorHAnsi"/>
            <w:color w:val="auto"/>
            <w:sz w:val="24"/>
            <w:szCs w:val="24"/>
            <w:lang w:val="en-US" w:eastAsia="ja-JP"/>
          </w:rPr>
          <w:t>Inclusivity in activities</w:t>
        </w:r>
      </w:hyperlink>
    </w:p>
    <w:p w:rsidR="00C921A9" w:rsidRPr="0001078A" w:rsidRDefault="008C032C" w:rsidP="0001078A">
      <w:pPr>
        <w:pStyle w:val="ListParagraph"/>
        <w:numPr>
          <w:ilvl w:val="0"/>
          <w:numId w:val="1"/>
        </w:numPr>
        <w:rPr>
          <w:rFonts w:eastAsiaTheme="minorEastAsia" w:cstheme="minorHAnsi"/>
          <w:sz w:val="24"/>
          <w:szCs w:val="24"/>
          <w:lang w:val="en-US" w:eastAsia="ja-JP"/>
        </w:rPr>
      </w:pPr>
      <w:hyperlink w:anchor="L" w:history="1">
        <w:r w:rsidR="00C921A9" w:rsidRPr="0001078A">
          <w:rPr>
            <w:rStyle w:val="Hyperlink"/>
            <w:rFonts w:eastAsiaTheme="minorEastAsia" w:cstheme="minorHAnsi"/>
            <w:color w:val="auto"/>
            <w:sz w:val="24"/>
            <w:szCs w:val="24"/>
            <w:lang w:val="en-US" w:eastAsia="ja-JP"/>
          </w:rPr>
          <w:t>Supporting emotional and social development</w:t>
        </w:r>
      </w:hyperlink>
    </w:p>
    <w:p w:rsidR="00C921A9" w:rsidRPr="0001078A" w:rsidRDefault="008C032C" w:rsidP="0001078A">
      <w:pPr>
        <w:pStyle w:val="ListParagraph"/>
        <w:numPr>
          <w:ilvl w:val="0"/>
          <w:numId w:val="1"/>
        </w:numPr>
        <w:rPr>
          <w:rFonts w:eastAsiaTheme="minorEastAsia" w:cstheme="minorHAnsi"/>
          <w:sz w:val="24"/>
          <w:szCs w:val="24"/>
          <w:lang w:val="en-US" w:eastAsia="ja-JP"/>
        </w:rPr>
      </w:pPr>
      <w:hyperlink w:anchor="O" w:history="1">
        <w:r w:rsidR="00C921A9" w:rsidRPr="0001078A">
          <w:rPr>
            <w:rStyle w:val="Hyperlink"/>
            <w:rFonts w:cstheme="minorHAnsi"/>
            <w:color w:val="auto"/>
            <w:sz w:val="24"/>
            <w:szCs w:val="24"/>
          </w:rPr>
          <w:t>Evaluating effectiveness</w:t>
        </w:r>
      </w:hyperlink>
    </w:p>
    <w:p w:rsidR="00C921A9" w:rsidRPr="0001078A" w:rsidRDefault="008C032C" w:rsidP="0001078A">
      <w:pPr>
        <w:pStyle w:val="ListParagraph"/>
        <w:numPr>
          <w:ilvl w:val="0"/>
          <w:numId w:val="1"/>
        </w:numPr>
        <w:rPr>
          <w:rFonts w:eastAsiaTheme="minorEastAsia" w:cstheme="minorHAnsi"/>
          <w:sz w:val="24"/>
          <w:szCs w:val="24"/>
          <w:lang w:val="en-US" w:eastAsia="ja-JP"/>
        </w:rPr>
      </w:pPr>
      <w:hyperlink w:anchor="P" w:history="1">
        <w:r w:rsidR="00C921A9" w:rsidRPr="0001078A">
          <w:rPr>
            <w:rStyle w:val="Hyperlink"/>
            <w:rFonts w:eastAsiaTheme="minorEastAsia" w:cstheme="minorHAnsi"/>
            <w:color w:val="auto"/>
            <w:sz w:val="24"/>
            <w:szCs w:val="24"/>
            <w:lang w:val="en-US" w:eastAsia="ja-JP"/>
          </w:rPr>
          <w:t>Handling complaints</w:t>
        </w:r>
      </w:hyperlink>
    </w:p>
    <w:p w:rsidR="00C921A9" w:rsidRPr="0001078A" w:rsidRDefault="00C921A9" w:rsidP="0001078A">
      <w:pPr>
        <w:rPr>
          <w:rFonts w:cstheme="minorHAnsi"/>
          <w:sz w:val="24"/>
          <w:szCs w:val="24"/>
        </w:rPr>
      </w:pPr>
    </w:p>
    <w:p w:rsidR="00250FC0" w:rsidRPr="0001078A" w:rsidRDefault="00250FC0" w:rsidP="0001078A">
      <w:pPr>
        <w:rPr>
          <w:rFonts w:cstheme="minorHAnsi"/>
          <w:sz w:val="24"/>
          <w:szCs w:val="24"/>
        </w:rPr>
      </w:pPr>
    </w:p>
    <w:p w:rsidR="00250FC0" w:rsidRPr="0001078A" w:rsidRDefault="00250FC0" w:rsidP="0001078A">
      <w:pPr>
        <w:rPr>
          <w:rFonts w:cstheme="minorHAnsi"/>
          <w:sz w:val="24"/>
          <w:szCs w:val="24"/>
        </w:rPr>
      </w:pPr>
    </w:p>
    <w:p w:rsidR="00C921A9" w:rsidRPr="0001078A" w:rsidRDefault="00C921A9" w:rsidP="0001078A">
      <w:pPr>
        <w:rPr>
          <w:rFonts w:cstheme="minorHAnsi"/>
          <w:b/>
          <w:sz w:val="24"/>
          <w:szCs w:val="24"/>
        </w:rPr>
      </w:pPr>
      <w:bookmarkStart w:id="0" w:name="A"/>
      <w:r w:rsidRPr="0001078A">
        <w:rPr>
          <w:rFonts w:cstheme="minorHAnsi"/>
          <w:b/>
          <w:sz w:val="24"/>
          <w:szCs w:val="24"/>
        </w:rPr>
        <w:lastRenderedPageBreak/>
        <w:t>Our school’s approach to supporting pupils with SEND</w:t>
      </w:r>
      <w:bookmarkEnd w:id="0"/>
    </w:p>
    <w:p w:rsidR="00C921A9" w:rsidRPr="0001078A" w:rsidRDefault="00C921A9" w:rsidP="0001078A">
      <w:pPr>
        <w:rPr>
          <w:rFonts w:eastAsiaTheme="minorEastAsia" w:cstheme="minorHAnsi"/>
          <w:sz w:val="24"/>
          <w:szCs w:val="24"/>
        </w:rPr>
      </w:pPr>
    </w:p>
    <w:p w:rsidR="00C921A9" w:rsidRPr="0001078A" w:rsidRDefault="00C921A9" w:rsidP="0001078A">
      <w:pPr>
        <w:rPr>
          <w:rFonts w:cstheme="minorHAnsi"/>
          <w:b/>
          <w:sz w:val="24"/>
          <w:szCs w:val="24"/>
        </w:rPr>
      </w:pPr>
      <w:bookmarkStart w:id="1" w:name="B"/>
      <w:r w:rsidRPr="0001078A">
        <w:rPr>
          <w:rFonts w:cstheme="minorHAnsi"/>
          <w:b/>
          <w:sz w:val="24"/>
          <w:szCs w:val="24"/>
        </w:rPr>
        <w:t>Catering for different kinds of SEND</w:t>
      </w:r>
      <w:bookmarkEnd w:id="1"/>
    </w:p>
    <w:p w:rsidR="008C032C" w:rsidRDefault="008C032C" w:rsidP="0001078A">
      <w:pPr>
        <w:rPr>
          <w:rFonts w:cstheme="minorHAnsi"/>
          <w:b/>
          <w:sz w:val="24"/>
          <w:szCs w:val="24"/>
        </w:rPr>
      </w:pPr>
    </w:p>
    <w:p w:rsidR="00C921A9" w:rsidRPr="0001078A" w:rsidRDefault="00C921A9" w:rsidP="0001078A">
      <w:pPr>
        <w:rPr>
          <w:rFonts w:cstheme="minorHAnsi"/>
          <w:b/>
          <w:sz w:val="24"/>
          <w:szCs w:val="24"/>
        </w:rPr>
      </w:pPr>
      <w:bookmarkStart w:id="2" w:name="_GoBack"/>
      <w:bookmarkEnd w:id="2"/>
      <w:r w:rsidRPr="0001078A">
        <w:rPr>
          <w:rFonts w:cstheme="minorHAnsi"/>
          <w:b/>
          <w:sz w:val="24"/>
          <w:szCs w:val="24"/>
        </w:rPr>
        <w:t>Cognition and learning</w:t>
      </w:r>
    </w:p>
    <w:p w:rsidR="00C921A9" w:rsidRPr="0001078A" w:rsidRDefault="00C921A9" w:rsidP="0001078A">
      <w:pPr>
        <w:rPr>
          <w:rFonts w:cstheme="minorHAnsi"/>
          <w:sz w:val="24"/>
          <w:szCs w:val="24"/>
        </w:rPr>
      </w:pPr>
    </w:p>
    <w:p w:rsidR="00C921A9" w:rsidRPr="0001078A" w:rsidRDefault="00C921A9" w:rsidP="0001078A">
      <w:pPr>
        <w:rPr>
          <w:rFonts w:cstheme="minorHAnsi"/>
          <w:b/>
          <w:sz w:val="24"/>
          <w:szCs w:val="24"/>
        </w:rPr>
      </w:pPr>
      <w:r w:rsidRPr="0001078A">
        <w:rPr>
          <w:rFonts w:cstheme="minorHAnsi"/>
          <w:b/>
          <w:sz w:val="24"/>
          <w:szCs w:val="24"/>
        </w:rPr>
        <w:t>Communication and interaction</w:t>
      </w:r>
    </w:p>
    <w:p w:rsidR="00C921A9" w:rsidRPr="0001078A" w:rsidRDefault="00C921A9" w:rsidP="0001078A">
      <w:pPr>
        <w:rPr>
          <w:rFonts w:cstheme="minorHAnsi"/>
          <w:sz w:val="24"/>
          <w:szCs w:val="24"/>
        </w:rPr>
      </w:pPr>
    </w:p>
    <w:p w:rsidR="00C921A9" w:rsidRPr="0001078A" w:rsidRDefault="00C921A9" w:rsidP="0001078A">
      <w:pPr>
        <w:rPr>
          <w:rFonts w:cstheme="minorHAnsi"/>
          <w:b/>
          <w:sz w:val="24"/>
          <w:szCs w:val="24"/>
        </w:rPr>
      </w:pPr>
      <w:r w:rsidRPr="0001078A">
        <w:rPr>
          <w:rFonts w:cstheme="minorHAnsi"/>
          <w:b/>
          <w:sz w:val="24"/>
          <w:szCs w:val="24"/>
        </w:rPr>
        <w:t>Sensory and/or physical needs</w:t>
      </w:r>
    </w:p>
    <w:p w:rsidR="008C032C" w:rsidRDefault="008C032C" w:rsidP="0001078A">
      <w:pPr>
        <w:rPr>
          <w:rFonts w:cstheme="minorHAnsi"/>
          <w:b/>
          <w:sz w:val="24"/>
          <w:szCs w:val="24"/>
        </w:rPr>
      </w:pPr>
    </w:p>
    <w:p w:rsidR="00C921A9" w:rsidRPr="0001078A" w:rsidRDefault="00C921A9" w:rsidP="0001078A">
      <w:pPr>
        <w:rPr>
          <w:rFonts w:cstheme="minorHAnsi"/>
          <w:b/>
          <w:sz w:val="24"/>
          <w:szCs w:val="24"/>
        </w:rPr>
      </w:pPr>
      <w:r w:rsidRPr="0001078A">
        <w:rPr>
          <w:rFonts w:cstheme="minorHAnsi"/>
          <w:b/>
          <w:sz w:val="24"/>
          <w:szCs w:val="24"/>
        </w:rPr>
        <w:t>Social, emotional and mental health</w:t>
      </w:r>
    </w:p>
    <w:p w:rsidR="008C032C" w:rsidRDefault="008C032C" w:rsidP="0001078A">
      <w:pPr>
        <w:rPr>
          <w:rFonts w:cstheme="minorHAnsi"/>
          <w:b/>
          <w:sz w:val="24"/>
          <w:szCs w:val="24"/>
        </w:rPr>
      </w:pPr>
      <w:bookmarkStart w:id="3" w:name="C"/>
    </w:p>
    <w:p w:rsidR="00C921A9" w:rsidRPr="0001078A" w:rsidRDefault="00C921A9" w:rsidP="0001078A">
      <w:pPr>
        <w:rPr>
          <w:rFonts w:cstheme="minorHAnsi"/>
          <w:b/>
          <w:sz w:val="24"/>
          <w:szCs w:val="24"/>
        </w:rPr>
      </w:pPr>
      <w:r w:rsidRPr="0001078A">
        <w:rPr>
          <w:rFonts w:cstheme="minorHAnsi"/>
          <w:b/>
          <w:sz w:val="24"/>
          <w:szCs w:val="24"/>
        </w:rPr>
        <w:t>Key staff and expertise</w:t>
      </w:r>
      <w:bookmarkEnd w:id="3"/>
    </w:p>
    <w:p w:rsidR="008C032C" w:rsidRDefault="008C032C" w:rsidP="0001078A">
      <w:pPr>
        <w:rPr>
          <w:rFonts w:eastAsiaTheme="minorEastAsia" w:cstheme="minorHAnsi"/>
          <w:b/>
          <w:sz w:val="24"/>
          <w:szCs w:val="24"/>
          <w:lang w:val="en-US" w:eastAsia="ja-JP"/>
        </w:rPr>
      </w:pPr>
    </w:p>
    <w:p w:rsidR="00C921A9" w:rsidRPr="0001078A" w:rsidRDefault="00C921A9" w:rsidP="0001078A">
      <w:pPr>
        <w:rPr>
          <w:rFonts w:eastAsiaTheme="minorEastAsia" w:cstheme="minorHAnsi"/>
          <w:b/>
          <w:sz w:val="24"/>
          <w:szCs w:val="24"/>
          <w:lang w:val="en-US" w:eastAsia="ja-JP"/>
        </w:rPr>
      </w:pPr>
      <w:r w:rsidRPr="0001078A">
        <w:rPr>
          <w:rFonts w:eastAsiaTheme="minorEastAsia" w:cstheme="minorHAnsi"/>
          <w:b/>
          <w:sz w:val="24"/>
          <w:szCs w:val="24"/>
          <w:lang w:val="en-US" w:eastAsia="ja-JP"/>
        </w:rPr>
        <w:t>The SENCO</w:t>
      </w:r>
    </w:p>
    <w:tbl>
      <w:tblPr>
        <w:tblStyle w:val="TableGrid"/>
        <w:tblW w:w="8913" w:type="dxa"/>
        <w:tblLook w:val="04A0" w:firstRow="1" w:lastRow="0" w:firstColumn="1" w:lastColumn="0" w:noHBand="0" w:noVBand="1"/>
      </w:tblPr>
      <w:tblGrid>
        <w:gridCol w:w="4371"/>
        <w:gridCol w:w="3541"/>
        <w:gridCol w:w="1001"/>
      </w:tblGrid>
      <w:tr w:rsidR="0001078A" w:rsidRPr="0001078A" w:rsidTr="00054F3B">
        <w:trPr>
          <w:trHeight w:val="283"/>
        </w:trPr>
        <w:tc>
          <w:tcPr>
            <w:tcW w:w="4371" w:type="dxa"/>
            <w:shd w:val="clear" w:color="auto" w:fill="347186"/>
          </w:tcPr>
          <w:p w:rsidR="00C921A9" w:rsidRPr="0001078A" w:rsidRDefault="00C921A9" w:rsidP="0001078A">
            <w:pPr>
              <w:spacing w:line="276" w:lineRule="auto"/>
              <w:jc w:val="center"/>
              <w:rPr>
                <w:rFonts w:eastAsiaTheme="minorEastAsia" w:cstheme="minorHAnsi"/>
                <w:sz w:val="24"/>
                <w:szCs w:val="24"/>
                <w:lang w:val="en-US" w:eastAsia="ja-JP"/>
              </w:rPr>
            </w:pPr>
            <w:r w:rsidRPr="0001078A">
              <w:rPr>
                <w:rFonts w:eastAsiaTheme="minorEastAsia" w:cstheme="minorHAnsi"/>
                <w:sz w:val="24"/>
                <w:szCs w:val="24"/>
                <w:lang w:val="en-US" w:eastAsia="ja-JP"/>
              </w:rPr>
              <w:t>Name of staff member</w:t>
            </w:r>
          </w:p>
        </w:tc>
        <w:tc>
          <w:tcPr>
            <w:tcW w:w="3541" w:type="dxa"/>
            <w:shd w:val="clear" w:color="auto" w:fill="347186"/>
          </w:tcPr>
          <w:p w:rsidR="00C921A9" w:rsidRPr="0001078A" w:rsidRDefault="00C921A9" w:rsidP="0001078A">
            <w:pPr>
              <w:spacing w:line="276" w:lineRule="auto"/>
              <w:jc w:val="center"/>
              <w:rPr>
                <w:rFonts w:eastAsiaTheme="minorEastAsia" w:cstheme="minorHAnsi"/>
                <w:sz w:val="24"/>
                <w:szCs w:val="24"/>
                <w:lang w:val="en-US" w:eastAsia="ja-JP"/>
              </w:rPr>
            </w:pPr>
            <w:r w:rsidRPr="0001078A">
              <w:rPr>
                <w:rFonts w:eastAsiaTheme="minorEastAsia" w:cstheme="minorHAnsi"/>
                <w:sz w:val="24"/>
                <w:szCs w:val="24"/>
                <w:lang w:val="en-US" w:eastAsia="ja-JP"/>
              </w:rPr>
              <w:t>Email address</w:t>
            </w:r>
          </w:p>
        </w:tc>
        <w:tc>
          <w:tcPr>
            <w:tcW w:w="1001" w:type="dxa"/>
            <w:shd w:val="clear" w:color="auto" w:fill="347186"/>
          </w:tcPr>
          <w:p w:rsidR="00C921A9" w:rsidRPr="0001078A" w:rsidRDefault="00C921A9" w:rsidP="0001078A">
            <w:pPr>
              <w:spacing w:line="276" w:lineRule="auto"/>
              <w:jc w:val="center"/>
              <w:rPr>
                <w:rFonts w:eastAsiaTheme="minorEastAsia" w:cstheme="minorHAnsi"/>
                <w:sz w:val="24"/>
                <w:szCs w:val="24"/>
                <w:lang w:val="en-US" w:eastAsia="ja-JP"/>
              </w:rPr>
            </w:pPr>
            <w:r w:rsidRPr="0001078A">
              <w:rPr>
                <w:rFonts w:eastAsiaTheme="minorEastAsia" w:cstheme="minorHAnsi"/>
                <w:sz w:val="24"/>
                <w:szCs w:val="24"/>
                <w:lang w:val="en-US" w:eastAsia="ja-JP"/>
              </w:rPr>
              <w:t>Phone number</w:t>
            </w:r>
          </w:p>
        </w:tc>
      </w:tr>
      <w:tr w:rsidR="00C921A9" w:rsidRPr="0001078A" w:rsidTr="00054F3B">
        <w:trPr>
          <w:trHeight w:val="543"/>
        </w:trPr>
        <w:tc>
          <w:tcPr>
            <w:tcW w:w="4371" w:type="dxa"/>
          </w:tcPr>
          <w:p w:rsidR="00C921A9" w:rsidRPr="0001078A" w:rsidRDefault="00C921A9" w:rsidP="0001078A">
            <w:pPr>
              <w:tabs>
                <w:tab w:val="left" w:pos="4155"/>
              </w:tabs>
              <w:spacing w:line="276" w:lineRule="auto"/>
              <w:jc w:val="center"/>
              <w:rPr>
                <w:rFonts w:eastAsiaTheme="minorEastAsia" w:cstheme="minorHAnsi"/>
                <w:sz w:val="24"/>
                <w:szCs w:val="24"/>
                <w:lang w:val="en-US" w:eastAsia="ja-JP"/>
              </w:rPr>
            </w:pPr>
          </w:p>
        </w:tc>
        <w:tc>
          <w:tcPr>
            <w:tcW w:w="3541" w:type="dxa"/>
          </w:tcPr>
          <w:p w:rsidR="00C921A9" w:rsidRPr="0001078A" w:rsidRDefault="00C921A9" w:rsidP="0001078A">
            <w:pPr>
              <w:spacing w:line="276" w:lineRule="auto"/>
              <w:jc w:val="center"/>
              <w:rPr>
                <w:rFonts w:eastAsiaTheme="minorEastAsia" w:cstheme="minorHAnsi"/>
                <w:b/>
                <w:sz w:val="24"/>
                <w:szCs w:val="24"/>
                <w:lang w:val="en-US" w:eastAsia="ja-JP"/>
              </w:rPr>
            </w:pPr>
          </w:p>
        </w:tc>
        <w:tc>
          <w:tcPr>
            <w:tcW w:w="1001" w:type="dxa"/>
          </w:tcPr>
          <w:p w:rsidR="00C921A9" w:rsidRPr="0001078A" w:rsidRDefault="00C921A9" w:rsidP="0001078A">
            <w:pPr>
              <w:spacing w:line="276" w:lineRule="auto"/>
              <w:jc w:val="center"/>
              <w:rPr>
                <w:rFonts w:eastAsiaTheme="minorEastAsia" w:cstheme="minorHAnsi"/>
                <w:b/>
                <w:sz w:val="24"/>
                <w:szCs w:val="24"/>
                <w:lang w:val="en-US" w:eastAsia="ja-JP"/>
              </w:rPr>
            </w:pPr>
          </w:p>
        </w:tc>
      </w:tr>
    </w:tbl>
    <w:p w:rsidR="00C921A9" w:rsidRPr="0001078A" w:rsidRDefault="00C921A9" w:rsidP="0001078A">
      <w:pPr>
        <w:rPr>
          <w:rFonts w:cstheme="minorHAnsi"/>
          <w:sz w:val="24"/>
          <w:szCs w:val="24"/>
        </w:rPr>
      </w:pPr>
    </w:p>
    <w:p w:rsidR="00EA2605" w:rsidRPr="0001078A" w:rsidRDefault="00EA2605" w:rsidP="0001078A">
      <w:pPr>
        <w:rPr>
          <w:rFonts w:eastAsiaTheme="minorEastAsia" w:cstheme="minorHAnsi"/>
          <w:b/>
          <w:sz w:val="24"/>
          <w:szCs w:val="24"/>
          <w:lang w:val="en-US" w:eastAsia="ja-JP"/>
        </w:rPr>
      </w:pPr>
      <w:r w:rsidRPr="0001078A">
        <w:rPr>
          <w:rFonts w:eastAsiaTheme="minorEastAsia" w:cstheme="minorHAnsi"/>
          <w:b/>
          <w:sz w:val="24"/>
          <w:szCs w:val="24"/>
          <w:lang w:val="en-US" w:eastAsia="ja-JP"/>
        </w:rPr>
        <w:t>Securing and deploying expertise</w:t>
      </w:r>
    </w:p>
    <w:tbl>
      <w:tblPr>
        <w:tblStyle w:val="TableGrid"/>
        <w:tblW w:w="8869" w:type="dxa"/>
        <w:tblLook w:val="04A0" w:firstRow="1" w:lastRow="0" w:firstColumn="1" w:lastColumn="0" w:noHBand="0" w:noVBand="1"/>
      </w:tblPr>
      <w:tblGrid>
        <w:gridCol w:w="3094"/>
        <w:gridCol w:w="2678"/>
        <w:gridCol w:w="3097"/>
      </w:tblGrid>
      <w:tr w:rsidR="0001078A" w:rsidRPr="0001078A" w:rsidTr="00054F3B">
        <w:trPr>
          <w:trHeight w:val="272"/>
        </w:trPr>
        <w:tc>
          <w:tcPr>
            <w:tcW w:w="3094" w:type="dxa"/>
            <w:shd w:val="clear" w:color="auto" w:fill="347186"/>
          </w:tcPr>
          <w:p w:rsidR="00C921A9" w:rsidRPr="0001078A" w:rsidRDefault="00C921A9" w:rsidP="0001078A">
            <w:pPr>
              <w:spacing w:line="276" w:lineRule="auto"/>
              <w:jc w:val="center"/>
              <w:rPr>
                <w:rFonts w:eastAsiaTheme="minorEastAsia" w:cstheme="minorHAnsi"/>
                <w:sz w:val="24"/>
                <w:szCs w:val="24"/>
                <w:lang w:val="en-US" w:eastAsia="ja-JP"/>
              </w:rPr>
            </w:pPr>
            <w:r w:rsidRPr="0001078A">
              <w:rPr>
                <w:rFonts w:eastAsiaTheme="minorEastAsia" w:cstheme="minorHAnsi"/>
                <w:sz w:val="24"/>
                <w:szCs w:val="24"/>
                <w:lang w:val="en-US" w:eastAsia="ja-JP"/>
              </w:rPr>
              <w:t>Name of staff member</w:t>
            </w:r>
          </w:p>
        </w:tc>
        <w:tc>
          <w:tcPr>
            <w:tcW w:w="2678" w:type="dxa"/>
            <w:shd w:val="clear" w:color="auto" w:fill="347186"/>
          </w:tcPr>
          <w:p w:rsidR="00C921A9" w:rsidRPr="0001078A" w:rsidRDefault="00C921A9" w:rsidP="0001078A">
            <w:pPr>
              <w:spacing w:line="276" w:lineRule="auto"/>
              <w:jc w:val="center"/>
              <w:rPr>
                <w:rFonts w:eastAsiaTheme="minorEastAsia" w:cstheme="minorHAnsi"/>
                <w:sz w:val="24"/>
                <w:szCs w:val="24"/>
                <w:lang w:val="en-US" w:eastAsia="ja-JP"/>
              </w:rPr>
            </w:pPr>
            <w:r w:rsidRPr="0001078A">
              <w:rPr>
                <w:rFonts w:eastAsiaTheme="minorEastAsia" w:cstheme="minorHAnsi"/>
                <w:sz w:val="24"/>
                <w:szCs w:val="24"/>
                <w:lang w:val="en-US" w:eastAsia="ja-JP"/>
              </w:rPr>
              <w:t>Area of expertise</w:t>
            </w:r>
          </w:p>
        </w:tc>
        <w:tc>
          <w:tcPr>
            <w:tcW w:w="3097" w:type="dxa"/>
            <w:shd w:val="clear" w:color="auto" w:fill="347186"/>
          </w:tcPr>
          <w:p w:rsidR="00C921A9" w:rsidRPr="0001078A" w:rsidRDefault="00C921A9" w:rsidP="0001078A">
            <w:pPr>
              <w:spacing w:line="276" w:lineRule="auto"/>
              <w:jc w:val="center"/>
              <w:rPr>
                <w:rFonts w:eastAsiaTheme="minorEastAsia" w:cstheme="minorHAnsi"/>
                <w:sz w:val="24"/>
                <w:szCs w:val="24"/>
                <w:lang w:val="en-US" w:eastAsia="ja-JP"/>
              </w:rPr>
            </w:pPr>
            <w:r w:rsidRPr="0001078A">
              <w:rPr>
                <w:rFonts w:eastAsiaTheme="minorEastAsia" w:cstheme="minorHAnsi"/>
                <w:sz w:val="24"/>
                <w:szCs w:val="24"/>
                <w:lang w:val="en-US" w:eastAsia="ja-JP"/>
              </w:rPr>
              <w:t>Training</w:t>
            </w:r>
          </w:p>
        </w:tc>
      </w:tr>
      <w:tr w:rsidR="0001078A" w:rsidRPr="0001078A" w:rsidTr="00054F3B">
        <w:trPr>
          <w:trHeight w:val="416"/>
        </w:trPr>
        <w:tc>
          <w:tcPr>
            <w:tcW w:w="3094" w:type="dxa"/>
          </w:tcPr>
          <w:p w:rsidR="00C921A9" w:rsidRPr="0001078A" w:rsidRDefault="00C921A9" w:rsidP="0001078A">
            <w:pPr>
              <w:spacing w:line="276" w:lineRule="auto"/>
              <w:rPr>
                <w:rFonts w:eastAsiaTheme="minorEastAsia" w:cstheme="minorHAnsi"/>
                <w:sz w:val="24"/>
                <w:szCs w:val="24"/>
                <w:lang w:val="en-US" w:eastAsia="ja-JP"/>
              </w:rPr>
            </w:pPr>
          </w:p>
        </w:tc>
        <w:tc>
          <w:tcPr>
            <w:tcW w:w="2678" w:type="dxa"/>
          </w:tcPr>
          <w:p w:rsidR="00C921A9" w:rsidRPr="0001078A" w:rsidRDefault="00C921A9" w:rsidP="0001078A">
            <w:pPr>
              <w:spacing w:line="276" w:lineRule="auto"/>
              <w:rPr>
                <w:rFonts w:eastAsiaTheme="minorEastAsia" w:cstheme="minorHAnsi"/>
                <w:sz w:val="24"/>
                <w:szCs w:val="24"/>
                <w:lang w:val="en-US" w:eastAsia="ja-JP"/>
              </w:rPr>
            </w:pPr>
          </w:p>
        </w:tc>
        <w:tc>
          <w:tcPr>
            <w:tcW w:w="3097" w:type="dxa"/>
          </w:tcPr>
          <w:p w:rsidR="00C921A9" w:rsidRPr="0001078A" w:rsidRDefault="00C921A9" w:rsidP="0001078A">
            <w:pPr>
              <w:spacing w:line="276" w:lineRule="auto"/>
              <w:rPr>
                <w:rFonts w:eastAsiaTheme="minorEastAsia" w:cstheme="minorHAnsi"/>
                <w:sz w:val="24"/>
                <w:szCs w:val="24"/>
                <w:lang w:val="en-US" w:eastAsia="ja-JP"/>
              </w:rPr>
            </w:pPr>
          </w:p>
        </w:tc>
      </w:tr>
      <w:tr w:rsidR="0001078A" w:rsidRPr="0001078A" w:rsidTr="00054F3B">
        <w:trPr>
          <w:trHeight w:val="416"/>
        </w:trPr>
        <w:tc>
          <w:tcPr>
            <w:tcW w:w="3094" w:type="dxa"/>
          </w:tcPr>
          <w:p w:rsidR="00C921A9" w:rsidRPr="0001078A" w:rsidRDefault="00C921A9" w:rsidP="0001078A">
            <w:pPr>
              <w:spacing w:line="276" w:lineRule="auto"/>
              <w:rPr>
                <w:rFonts w:eastAsiaTheme="minorEastAsia" w:cstheme="minorHAnsi"/>
                <w:sz w:val="24"/>
                <w:szCs w:val="24"/>
                <w:lang w:val="en-US" w:eastAsia="ja-JP"/>
              </w:rPr>
            </w:pPr>
          </w:p>
        </w:tc>
        <w:tc>
          <w:tcPr>
            <w:tcW w:w="2678" w:type="dxa"/>
          </w:tcPr>
          <w:p w:rsidR="00C921A9" w:rsidRPr="0001078A" w:rsidRDefault="00C921A9" w:rsidP="0001078A">
            <w:pPr>
              <w:spacing w:line="276" w:lineRule="auto"/>
              <w:rPr>
                <w:rFonts w:eastAsiaTheme="minorEastAsia" w:cstheme="minorHAnsi"/>
                <w:sz w:val="24"/>
                <w:szCs w:val="24"/>
                <w:lang w:val="en-US" w:eastAsia="ja-JP"/>
              </w:rPr>
            </w:pPr>
          </w:p>
        </w:tc>
        <w:tc>
          <w:tcPr>
            <w:tcW w:w="3097" w:type="dxa"/>
          </w:tcPr>
          <w:p w:rsidR="00C921A9" w:rsidRPr="0001078A" w:rsidRDefault="00C921A9" w:rsidP="0001078A">
            <w:pPr>
              <w:spacing w:line="276" w:lineRule="auto"/>
              <w:rPr>
                <w:rFonts w:eastAsiaTheme="minorEastAsia" w:cstheme="minorHAnsi"/>
                <w:sz w:val="24"/>
                <w:szCs w:val="24"/>
                <w:lang w:val="en-US" w:eastAsia="ja-JP"/>
              </w:rPr>
            </w:pPr>
          </w:p>
        </w:tc>
      </w:tr>
      <w:tr w:rsidR="0001078A" w:rsidRPr="0001078A" w:rsidTr="00054F3B">
        <w:trPr>
          <w:trHeight w:val="467"/>
        </w:trPr>
        <w:tc>
          <w:tcPr>
            <w:tcW w:w="3094" w:type="dxa"/>
          </w:tcPr>
          <w:p w:rsidR="00C921A9" w:rsidRPr="0001078A" w:rsidRDefault="00C921A9" w:rsidP="0001078A">
            <w:pPr>
              <w:spacing w:line="276" w:lineRule="auto"/>
              <w:rPr>
                <w:rFonts w:eastAsiaTheme="minorEastAsia" w:cstheme="minorHAnsi"/>
                <w:sz w:val="24"/>
                <w:szCs w:val="24"/>
                <w:lang w:val="en-US" w:eastAsia="ja-JP"/>
              </w:rPr>
            </w:pPr>
          </w:p>
        </w:tc>
        <w:tc>
          <w:tcPr>
            <w:tcW w:w="2678" w:type="dxa"/>
          </w:tcPr>
          <w:p w:rsidR="00C921A9" w:rsidRPr="0001078A" w:rsidRDefault="00C921A9" w:rsidP="0001078A">
            <w:pPr>
              <w:spacing w:line="276" w:lineRule="auto"/>
              <w:rPr>
                <w:rFonts w:eastAsiaTheme="minorEastAsia" w:cstheme="minorHAnsi"/>
                <w:sz w:val="24"/>
                <w:szCs w:val="24"/>
                <w:lang w:val="en-US" w:eastAsia="ja-JP"/>
              </w:rPr>
            </w:pPr>
          </w:p>
        </w:tc>
        <w:tc>
          <w:tcPr>
            <w:tcW w:w="3097" w:type="dxa"/>
          </w:tcPr>
          <w:p w:rsidR="00C921A9" w:rsidRPr="0001078A" w:rsidRDefault="00C921A9" w:rsidP="0001078A">
            <w:pPr>
              <w:spacing w:line="276" w:lineRule="auto"/>
              <w:rPr>
                <w:rFonts w:eastAsiaTheme="minorEastAsia" w:cstheme="minorHAnsi"/>
                <w:sz w:val="24"/>
                <w:szCs w:val="24"/>
                <w:lang w:val="en-US" w:eastAsia="ja-JP"/>
              </w:rPr>
            </w:pPr>
          </w:p>
        </w:tc>
      </w:tr>
    </w:tbl>
    <w:p w:rsidR="00C921A9" w:rsidRPr="0001078A" w:rsidRDefault="00C921A9" w:rsidP="0001078A">
      <w:pPr>
        <w:rPr>
          <w:rFonts w:cstheme="minorHAnsi"/>
          <w:sz w:val="24"/>
          <w:szCs w:val="24"/>
        </w:rPr>
      </w:pPr>
    </w:p>
    <w:p w:rsidR="00D71588" w:rsidRPr="0001078A" w:rsidRDefault="00D71588" w:rsidP="0001078A">
      <w:pPr>
        <w:rPr>
          <w:rFonts w:eastAsiaTheme="minorEastAsia" w:cstheme="minorHAnsi"/>
          <w:b/>
          <w:sz w:val="24"/>
          <w:szCs w:val="24"/>
          <w:lang w:val="en-US" w:eastAsia="ja-JP"/>
        </w:rPr>
      </w:pPr>
      <w:r w:rsidRPr="0001078A">
        <w:rPr>
          <w:rFonts w:eastAsiaTheme="minorEastAsia" w:cstheme="minorHAnsi"/>
          <w:b/>
          <w:sz w:val="24"/>
          <w:szCs w:val="24"/>
          <w:lang w:val="en-US" w:eastAsia="ja-JP"/>
        </w:rPr>
        <w:t xml:space="preserve">Equipment and facilities </w:t>
      </w:r>
    </w:p>
    <w:p w:rsidR="00D71588" w:rsidRPr="0001078A" w:rsidRDefault="00D71588" w:rsidP="0001078A">
      <w:pPr>
        <w:rPr>
          <w:rFonts w:cstheme="minorHAnsi"/>
          <w:b/>
          <w:sz w:val="24"/>
          <w:szCs w:val="24"/>
        </w:rPr>
      </w:pPr>
    </w:p>
    <w:p w:rsidR="00D71588" w:rsidRPr="0001078A" w:rsidRDefault="00D71588" w:rsidP="0001078A">
      <w:pPr>
        <w:rPr>
          <w:rFonts w:eastAsiaTheme="minorEastAsia" w:cstheme="minorHAnsi"/>
          <w:b/>
          <w:sz w:val="24"/>
          <w:szCs w:val="24"/>
          <w:lang w:val="en-US" w:eastAsia="ja-JP"/>
        </w:rPr>
      </w:pPr>
      <w:r w:rsidRPr="0001078A">
        <w:rPr>
          <w:rFonts w:eastAsiaTheme="minorEastAsia" w:cstheme="minorHAnsi"/>
          <w:b/>
          <w:sz w:val="24"/>
          <w:szCs w:val="24"/>
          <w:lang w:val="en-US" w:eastAsia="ja-JP"/>
        </w:rPr>
        <w:lastRenderedPageBreak/>
        <w:t>Other professionals</w:t>
      </w:r>
    </w:p>
    <w:p w:rsidR="008C032C" w:rsidRDefault="008C032C" w:rsidP="0001078A">
      <w:pPr>
        <w:rPr>
          <w:rFonts w:cstheme="minorHAnsi"/>
          <w:b/>
          <w:sz w:val="24"/>
          <w:szCs w:val="24"/>
        </w:rPr>
      </w:pPr>
      <w:bookmarkStart w:id="4" w:name="D"/>
    </w:p>
    <w:p w:rsidR="00D71588" w:rsidRPr="0001078A" w:rsidRDefault="00D71588" w:rsidP="0001078A">
      <w:pPr>
        <w:rPr>
          <w:rFonts w:cstheme="minorHAnsi"/>
          <w:b/>
          <w:sz w:val="24"/>
          <w:szCs w:val="24"/>
        </w:rPr>
      </w:pPr>
      <w:r w:rsidRPr="0001078A">
        <w:rPr>
          <w:rFonts w:cstheme="minorHAnsi"/>
          <w:b/>
          <w:sz w:val="24"/>
          <w:szCs w:val="24"/>
        </w:rPr>
        <w:t>Identifying and assessing pupils with SEND</w:t>
      </w:r>
      <w:bookmarkEnd w:id="4"/>
    </w:p>
    <w:p w:rsidR="008C032C" w:rsidRDefault="008C032C" w:rsidP="0001078A">
      <w:pPr>
        <w:pStyle w:val="NormalWeb"/>
        <w:spacing w:line="276" w:lineRule="auto"/>
        <w:rPr>
          <w:rFonts w:asciiTheme="minorHAnsi" w:hAnsiTheme="minorHAnsi" w:cstheme="minorHAnsi"/>
          <w:sz w:val="24"/>
          <w:szCs w:val="24"/>
        </w:rPr>
      </w:pPr>
    </w:p>
    <w:p w:rsidR="00D71588" w:rsidRPr="0001078A" w:rsidRDefault="00D71588" w:rsidP="0001078A">
      <w:pPr>
        <w:pStyle w:val="NormalWeb"/>
        <w:spacing w:line="276" w:lineRule="auto"/>
        <w:rPr>
          <w:rFonts w:asciiTheme="minorHAnsi" w:hAnsiTheme="minorHAnsi" w:cstheme="minorHAnsi"/>
          <w:sz w:val="24"/>
          <w:szCs w:val="24"/>
        </w:rPr>
      </w:pPr>
      <w:r w:rsidRPr="0001078A">
        <w:rPr>
          <w:rFonts w:asciiTheme="minorHAnsi" w:hAnsiTheme="minorHAnsi" w:cstheme="minorHAnsi"/>
          <w:sz w:val="24"/>
          <w:szCs w:val="24"/>
        </w:rPr>
        <w:t xml:space="preserve"> </w:t>
      </w:r>
    </w:p>
    <w:p w:rsidR="00547F4E" w:rsidRPr="0001078A" w:rsidRDefault="00547F4E" w:rsidP="0001078A">
      <w:pPr>
        <w:pStyle w:val="NormalWeb"/>
        <w:spacing w:line="276" w:lineRule="auto"/>
        <w:rPr>
          <w:rFonts w:asciiTheme="minorHAnsi" w:hAnsiTheme="minorHAnsi" w:cstheme="minorHAnsi"/>
          <w:b/>
          <w:sz w:val="24"/>
          <w:szCs w:val="24"/>
        </w:rPr>
      </w:pPr>
      <w:r w:rsidRPr="0001078A">
        <w:rPr>
          <w:rFonts w:asciiTheme="minorHAnsi" w:hAnsiTheme="minorHAnsi" w:cstheme="minorHAnsi"/>
          <w:b/>
          <w:sz w:val="24"/>
          <w:szCs w:val="24"/>
        </w:rPr>
        <w:t>If you have a concern about your child.</w:t>
      </w:r>
    </w:p>
    <w:p w:rsidR="008C032C" w:rsidRDefault="008C032C" w:rsidP="0001078A">
      <w:pPr>
        <w:rPr>
          <w:rFonts w:eastAsiaTheme="minorEastAsia" w:cstheme="minorHAnsi"/>
          <w:sz w:val="24"/>
          <w:szCs w:val="24"/>
        </w:rPr>
      </w:pPr>
      <w:bookmarkStart w:id="5" w:name="E"/>
    </w:p>
    <w:p w:rsidR="00D71588" w:rsidRPr="0001078A" w:rsidRDefault="00D71588" w:rsidP="0001078A">
      <w:pPr>
        <w:rPr>
          <w:rFonts w:cstheme="minorHAnsi"/>
          <w:b/>
          <w:sz w:val="24"/>
          <w:szCs w:val="24"/>
        </w:rPr>
      </w:pPr>
      <w:r w:rsidRPr="0001078A">
        <w:rPr>
          <w:rFonts w:cstheme="minorHAnsi"/>
          <w:b/>
          <w:sz w:val="24"/>
          <w:szCs w:val="24"/>
        </w:rPr>
        <w:t>Consulting with pupils and parents</w:t>
      </w:r>
      <w:bookmarkEnd w:id="5"/>
    </w:p>
    <w:p w:rsidR="008C032C" w:rsidRDefault="008C032C" w:rsidP="0001078A">
      <w:pPr>
        <w:rPr>
          <w:rFonts w:eastAsiaTheme="minorEastAsia" w:cstheme="minorHAnsi"/>
          <w:b/>
          <w:sz w:val="24"/>
          <w:szCs w:val="24"/>
          <w:lang w:val="en-US" w:eastAsia="ja-JP"/>
        </w:rPr>
      </w:pPr>
    </w:p>
    <w:p w:rsidR="00D71588" w:rsidRPr="0001078A" w:rsidRDefault="00D71588" w:rsidP="0001078A">
      <w:pPr>
        <w:rPr>
          <w:rFonts w:eastAsiaTheme="minorEastAsia" w:cstheme="minorHAnsi"/>
          <w:b/>
          <w:sz w:val="24"/>
          <w:szCs w:val="24"/>
          <w:lang w:val="en-US" w:eastAsia="ja-JP"/>
        </w:rPr>
      </w:pPr>
      <w:r w:rsidRPr="0001078A">
        <w:rPr>
          <w:rFonts w:eastAsiaTheme="minorEastAsia" w:cstheme="minorHAnsi"/>
          <w:b/>
          <w:sz w:val="24"/>
          <w:szCs w:val="24"/>
          <w:lang w:val="en-US" w:eastAsia="ja-JP"/>
        </w:rPr>
        <w:t>Parents</w:t>
      </w:r>
    </w:p>
    <w:p w:rsidR="00547F4E" w:rsidRDefault="00547F4E" w:rsidP="0001078A">
      <w:pPr>
        <w:spacing w:before="160"/>
        <w:jc w:val="both"/>
        <w:outlineLvl w:val="0"/>
        <w:rPr>
          <w:rFonts w:cstheme="minorHAnsi"/>
          <w:sz w:val="24"/>
          <w:szCs w:val="24"/>
        </w:rPr>
      </w:pPr>
    </w:p>
    <w:p w:rsidR="00D71588" w:rsidRPr="0001078A" w:rsidRDefault="00D71588" w:rsidP="0001078A">
      <w:pPr>
        <w:rPr>
          <w:rFonts w:eastAsiaTheme="minorEastAsia" w:cstheme="minorHAnsi"/>
          <w:b/>
          <w:sz w:val="24"/>
          <w:szCs w:val="24"/>
          <w:lang w:val="en-US" w:eastAsia="ja-JP"/>
        </w:rPr>
      </w:pPr>
      <w:r w:rsidRPr="0001078A">
        <w:rPr>
          <w:rFonts w:eastAsiaTheme="minorEastAsia" w:cstheme="minorHAnsi"/>
          <w:b/>
          <w:sz w:val="24"/>
          <w:szCs w:val="24"/>
          <w:lang w:val="en-US" w:eastAsia="ja-JP"/>
        </w:rPr>
        <w:t>Pupils</w:t>
      </w:r>
    </w:p>
    <w:p w:rsidR="008C032C" w:rsidRDefault="008C032C" w:rsidP="0001078A">
      <w:pPr>
        <w:rPr>
          <w:rFonts w:eastAsiaTheme="minorEastAsia" w:cstheme="minorHAnsi"/>
          <w:sz w:val="24"/>
          <w:szCs w:val="24"/>
        </w:rPr>
      </w:pPr>
    </w:p>
    <w:p w:rsidR="00D71588" w:rsidRPr="0001078A" w:rsidRDefault="00D71588" w:rsidP="0001078A">
      <w:pPr>
        <w:rPr>
          <w:rFonts w:cstheme="minorHAnsi"/>
          <w:b/>
          <w:sz w:val="24"/>
          <w:szCs w:val="24"/>
        </w:rPr>
      </w:pPr>
      <w:r w:rsidRPr="0001078A">
        <w:rPr>
          <w:rFonts w:cstheme="minorHAnsi"/>
          <w:b/>
          <w:sz w:val="24"/>
          <w:szCs w:val="24"/>
        </w:rPr>
        <w:t>Teaching appr</w:t>
      </w:r>
      <w:bookmarkStart w:id="6" w:name="I"/>
      <w:bookmarkEnd w:id="6"/>
      <w:r w:rsidRPr="0001078A">
        <w:rPr>
          <w:rFonts w:cstheme="minorHAnsi"/>
          <w:b/>
          <w:sz w:val="24"/>
          <w:szCs w:val="24"/>
        </w:rPr>
        <w:t>oach</w:t>
      </w:r>
    </w:p>
    <w:p w:rsidR="008C032C" w:rsidRDefault="008C032C" w:rsidP="0001078A">
      <w:pPr>
        <w:rPr>
          <w:rFonts w:cstheme="minorHAnsi"/>
          <w:b/>
          <w:sz w:val="24"/>
          <w:szCs w:val="24"/>
        </w:rPr>
      </w:pPr>
      <w:bookmarkStart w:id="7" w:name="H"/>
    </w:p>
    <w:p w:rsidR="00D71588" w:rsidRPr="0001078A" w:rsidRDefault="004B4CD1" w:rsidP="0001078A">
      <w:pPr>
        <w:rPr>
          <w:rFonts w:cstheme="minorHAnsi"/>
          <w:b/>
          <w:sz w:val="24"/>
          <w:szCs w:val="24"/>
        </w:rPr>
      </w:pPr>
      <w:r w:rsidRPr="0001078A">
        <w:rPr>
          <w:rFonts w:cstheme="minorHAnsi"/>
          <w:b/>
          <w:sz w:val="24"/>
          <w:szCs w:val="24"/>
        </w:rPr>
        <w:t>Transition support</w:t>
      </w:r>
      <w:bookmarkEnd w:id="7"/>
    </w:p>
    <w:p w:rsidR="00DA58D4" w:rsidRPr="0001078A" w:rsidRDefault="00DA58D4" w:rsidP="0001078A">
      <w:pPr>
        <w:spacing w:before="100" w:beforeAutospacing="1" w:after="100" w:afterAutospacing="1"/>
        <w:rPr>
          <w:rFonts w:cstheme="minorHAnsi"/>
          <w:sz w:val="24"/>
          <w:szCs w:val="24"/>
          <w:lang w:eastAsia="en-GB"/>
        </w:rPr>
      </w:pPr>
      <w:r w:rsidRPr="0001078A">
        <w:rPr>
          <w:rFonts w:cstheme="minorHAnsi"/>
          <w:b/>
          <w:bCs/>
          <w:sz w:val="24"/>
          <w:szCs w:val="24"/>
          <w:lang w:eastAsia="en-GB"/>
        </w:rPr>
        <w:t>If your child is joining us from another school:</w:t>
      </w:r>
    </w:p>
    <w:p w:rsidR="00DA58D4" w:rsidRPr="0001078A" w:rsidRDefault="00DA58D4" w:rsidP="0001078A">
      <w:pPr>
        <w:spacing w:before="100" w:beforeAutospacing="1" w:after="100" w:afterAutospacing="1"/>
        <w:rPr>
          <w:rFonts w:cstheme="minorHAnsi"/>
          <w:sz w:val="24"/>
          <w:szCs w:val="24"/>
          <w:lang w:eastAsia="en-GB"/>
        </w:rPr>
      </w:pPr>
      <w:r w:rsidRPr="0001078A">
        <w:rPr>
          <w:rFonts w:cstheme="minorHAnsi"/>
          <w:b/>
          <w:bCs/>
          <w:sz w:val="24"/>
          <w:szCs w:val="24"/>
          <w:lang w:eastAsia="en-GB"/>
        </w:rPr>
        <w:t xml:space="preserve">If your child is moving to another school (including to Y7): </w:t>
      </w:r>
    </w:p>
    <w:p w:rsidR="00DA58D4" w:rsidRPr="0001078A" w:rsidRDefault="00DA58D4" w:rsidP="0001078A">
      <w:pPr>
        <w:spacing w:before="100" w:beforeAutospacing="1" w:after="100" w:afterAutospacing="1"/>
        <w:rPr>
          <w:rFonts w:cstheme="minorHAnsi"/>
          <w:sz w:val="24"/>
          <w:szCs w:val="24"/>
          <w:lang w:eastAsia="en-GB"/>
        </w:rPr>
      </w:pPr>
      <w:r w:rsidRPr="0001078A">
        <w:rPr>
          <w:rFonts w:cstheme="minorHAnsi"/>
          <w:b/>
          <w:bCs/>
          <w:sz w:val="24"/>
          <w:szCs w:val="24"/>
          <w:lang w:eastAsia="en-GB"/>
        </w:rPr>
        <w:t xml:space="preserve">When moving classes in school: </w:t>
      </w:r>
    </w:p>
    <w:p w:rsidR="00A638CA" w:rsidRPr="0001078A" w:rsidRDefault="004B4CD1" w:rsidP="0001078A">
      <w:pPr>
        <w:rPr>
          <w:rFonts w:cstheme="minorHAnsi"/>
          <w:b/>
          <w:sz w:val="24"/>
          <w:szCs w:val="24"/>
        </w:rPr>
      </w:pPr>
      <w:bookmarkStart w:id="8" w:name="K"/>
      <w:r w:rsidRPr="0001078A">
        <w:rPr>
          <w:rFonts w:cstheme="minorHAnsi"/>
          <w:b/>
          <w:sz w:val="24"/>
          <w:szCs w:val="24"/>
        </w:rPr>
        <w:t>Inclusivity in activities</w:t>
      </w:r>
      <w:bookmarkEnd w:id="8"/>
    </w:p>
    <w:p w:rsidR="00A638CA" w:rsidRPr="0001078A" w:rsidRDefault="00A638CA" w:rsidP="0001078A">
      <w:pPr>
        <w:rPr>
          <w:rFonts w:eastAsiaTheme="minorEastAsia" w:cstheme="minorHAnsi"/>
          <w:sz w:val="24"/>
          <w:szCs w:val="24"/>
        </w:rPr>
      </w:pPr>
      <w:r w:rsidRPr="0001078A">
        <w:rPr>
          <w:rFonts w:eastAsiaTheme="minorEastAsia" w:cstheme="minorHAnsi"/>
          <w:sz w:val="24"/>
          <w:szCs w:val="24"/>
        </w:rPr>
        <w:t xml:space="preserve"> </w:t>
      </w:r>
    </w:p>
    <w:p w:rsidR="00A638CA" w:rsidRPr="0001078A" w:rsidRDefault="00A638CA" w:rsidP="0001078A">
      <w:pPr>
        <w:rPr>
          <w:rFonts w:cstheme="minorHAnsi"/>
          <w:b/>
          <w:sz w:val="24"/>
          <w:szCs w:val="24"/>
        </w:rPr>
      </w:pPr>
      <w:r w:rsidRPr="0001078A">
        <w:rPr>
          <w:rFonts w:cstheme="minorHAnsi"/>
          <w:b/>
          <w:sz w:val="24"/>
          <w:szCs w:val="24"/>
        </w:rPr>
        <w:t>Evaluating effectiveness</w:t>
      </w:r>
    </w:p>
    <w:p w:rsidR="0088779D" w:rsidRPr="0001078A" w:rsidRDefault="0088779D" w:rsidP="0001078A">
      <w:pPr>
        <w:rPr>
          <w:rFonts w:eastAsiaTheme="minorEastAsia" w:cstheme="minorHAnsi"/>
          <w:sz w:val="24"/>
          <w:szCs w:val="24"/>
        </w:rPr>
      </w:pPr>
    </w:p>
    <w:p w:rsidR="0088779D" w:rsidRPr="0001078A" w:rsidRDefault="0088779D" w:rsidP="0001078A">
      <w:pPr>
        <w:rPr>
          <w:rFonts w:cstheme="minorHAnsi"/>
          <w:b/>
          <w:sz w:val="24"/>
          <w:szCs w:val="24"/>
        </w:rPr>
      </w:pPr>
      <w:bookmarkStart w:id="9" w:name="P"/>
      <w:r w:rsidRPr="0001078A">
        <w:rPr>
          <w:rFonts w:cstheme="minorHAnsi"/>
          <w:b/>
          <w:sz w:val="24"/>
          <w:szCs w:val="24"/>
        </w:rPr>
        <w:t>Handling complaints</w:t>
      </w:r>
      <w:bookmarkEnd w:id="9"/>
    </w:p>
    <w:sectPr w:rsidR="0088779D" w:rsidRPr="00010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517BD"/>
    <w:multiLevelType w:val="multilevel"/>
    <w:tmpl w:val="D200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6040A"/>
    <w:multiLevelType w:val="multilevel"/>
    <w:tmpl w:val="2F76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E5479"/>
    <w:multiLevelType w:val="hybridMultilevel"/>
    <w:tmpl w:val="934410DA"/>
    <w:lvl w:ilvl="0" w:tplc="21F8AF24">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F32021"/>
    <w:multiLevelType w:val="hybridMultilevel"/>
    <w:tmpl w:val="B098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DA11AA"/>
    <w:multiLevelType w:val="hybridMultilevel"/>
    <w:tmpl w:val="C3D4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8C4D73"/>
    <w:multiLevelType w:val="hybridMultilevel"/>
    <w:tmpl w:val="D4BE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47EB7"/>
    <w:multiLevelType w:val="hybridMultilevel"/>
    <w:tmpl w:val="1184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E2896"/>
    <w:multiLevelType w:val="multilevel"/>
    <w:tmpl w:val="844A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7"/>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A9"/>
    <w:rsid w:val="0001078A"/>
    <w:rsid w:val="00250FC0"/>
    <w:rsid w:val="003C79E4"/>
    <w:rsid w:val="004B4CD1"/>
    <w:rsid w:val="00547F4E"/>
    <w:rsid w:val="005A2822"/>
    <w:rsid w:val="00677A7E"/>
    <w:rsid w:val="006F19B4"/>
    <w:rsid w:val="00757E97"/>
    <w:rsid w:val="0088779D"/>
    <w:rsid w:val="008C032C"/>
    <w:rsid w:val="00A638CA"/>
    <w:rsid w:val="00C921A9"/>
    <w:rsid w:val="00D71588"/>
    <w:rsid w:val="00DA58D4"/>
    <w:rsid w:val="00EA2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A7524-90AE-44AB-B441-59F0F263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1A9"/>
    <w:pPr>
      <w:ind w:left="720"/>
      <w:contextualSpacing/>
    </w:pPr>
  </w:style>
  <w:style w:type="character" w:styleId="Hyperlink">
    <w:name w:val="Hyperlink"/>
    <w:basedOn w:val="DefaultParagraphFont"/>
    <w:uiPriority w:val="99"/>
    <w:unhideWhenUsed/>
    <w:rsid w:val="00C921A9"/>
    <w:rPr>
      <w:color w:val="0000FF" w:themeColor="hyperlink"/>
      <w:u w:val="single"/>
    </w:rPr>
  </w:style>
  <w:style w:type="table" w:styleId="TableGrid">
    <w:name w:val="Table Grid"/>
    <w:basedOn w:val="TableNormal"/>
    <w:uiPriority w:val="59"/>
    <w:rsid w:val="00C92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158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7532">
      <w:bodyDiv w:val="1"/>
      <w:marLeft w:val="0"/>
      <w:marRight w:val="0"/>
      <w:marTop w:val="0"/>
      <w:marBottom w:val="0"/>
      <w:divBdr>
        <w:top w:val="none" w:sz="0" w:space="0" w:color="auto"/>
        <w:left w:val="none" w:sz="0" w:space="0" w:color="auto"/>
        <w:bottom w:val="none" w:sz="0" w:space="0" w:color="auto"/>
        <w:right w:val="none" w:sz="0" w:space="0" w:color="auto"/>
      </w:divBdr>
    </w:div>
    <w:div w:id="1212038187">
      <w:bodyDiv w:val="1"/>
      <w:marLeft w:val="0"/>
      <w:marRight w:val="0"/>
      <w:marTop w:val="0"/>
      <w:marBottom w:val="0"/>
      <w:divBdr>
        <w:top w:val="none" w:sz="0" w:space="0" w:color="auto"/>
        <w:left w:val="none" w:sz="0" w:space="0" w:color="auto"/>
        <w:bottom w:val="none" w:sz="0" w:space="0" w:color="auto"/>
        <w:right w:val="none" w:sz="0" w:space="0" w:color="auto"/>
      </w:divBdr>
    </w:div>
    <w:div w:id="143709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sarah</dc:creator>
  <cp:lastModifiedBy>Sonia Gilbert</cp:lastModifiedBy>
  <cp:revision>2</cp:revision>
  <dcterms:created xsi:type="dcterms:W3CDTF">2019-03-14T11:32:00Z</dcterms:created>
  <dcterms:modified xsi:type="dcterms:W3CDTF">2019-03-14T11:32:00Z</dcterms:modified>
</cp:coreProperties>
</file>